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Id="R4084CE36" Type="http://schemas.openxmlformats.org/officeDocument/2006/relationships/officeDocument" Target="/word/document.xml" /></Relationships>
</file>

<file path=word/document.xml><?xml version="1.0" encoding="utf-8"?>
<w:document xmlns:wps="http://schemas.microsoft.com/office/word/2010/wordprocessingShape" xmlns:mc="http://schemas.openxmlformats.org/markup-compatibility/2006" xmlns:w10="urn:schemas-microsoft-com:office:word" xmlns:v="urn:schemas-microsoft-com:vml" xmlns:w="http://schemas.openxmlformats.org/wordprocessingml/2006/main">
  <w:body>
    <w:p>
      <w:pPr>
        <w:spacing w:after="160" w:beforeAutospacing="0" w:afterAutospacing="0"/>
        <w:rPr>
          <w:rFonts w:ascii="Arial" w:hAnsi="Arial"/>
          <w:sz w:val="24"/>
          <w:color w:val="000000"/>
        </w:rPr>
      </w:pPr>
      <w:r>
        <w:rPr>
          <w:rFonts w:ascii="Calibri" w:hAnsi="Calibri"/>
          <w:sz w:val="20"/>
          <w:b w:val="1"/>
          <w:color w:val="000000"/>
        </w:rPr>
        <w:t xml:space="preserve">Πίνακας Συμμόρφωσης τεχνικών προδιαγραφών Application Delivery Controllers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Α/Α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Τεχνικές Προδιαγραφές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Απαίτηση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Απάντηση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Παραπομπή</w:t>
            </w:r>
          </w:p>
        </w:tc>
      </w:tr>
      <w:tr>
        <w:trPr>
          <w:trHeight w:hRule="atLeast" w:val="44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1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  <w:vAlign w:val="center"/>
            <w:shd w:val="clear" w:color="auto" w:fill="D9D9D9"/>
          </w:tcPr>
          <w:p>
            <w:pPr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Αρχιτεκτονική – Διάρθρωση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1.1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Να αναφερθούν κατασκευαστής και μοντέλο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1.2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color w:val="000000"/>
              </w:rPr>
              <w:t>Αυτόνομη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color w:val="000000"/>
              </w:rPr>
              <w:t>συσκευή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Application Delivery Controller 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1.3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 λειτουργικότητας Web Application Firewall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Να αναφέρεται εάν υποστηρίζεται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1.4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Η προτεινόμενη λύση πρέπει να είναι φυσική συσκευή (hardware appliance – όχι λογισμικό που να εγκαθίσταται σε εικονικό εξυπηρετητή)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1.5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Αριθμός απαιτούμενων μονάδων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≥ 2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1.6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Δυνατότητα τοποθέτησης σε ικρίωμα 19"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1.7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Λειτουργία σε συστοιχία υψηλής διαθεσιμότητας για αδιάληπτη λειτουργία (active/standby ή active/active)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1.8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Δικτυακές θύρες τύπου GigaBit Ethernet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≥ 4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1.9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Δικτυακές θύρες με υποστήριξη του πρωτοκόλλου 802.1q (Vlan tagging).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1.10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Δικτυακές θύρες με υποστήριξη του πρωτοκόλλου 802.3ad (LACP)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1.11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Να διαθέτει σειριακή θύρα για τοπική παραμετροποίηση και διαχείριση του συστήματος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2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  <w:shd w:val="clear" w:color="auto" w:fill="D9D9D9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Επιδόσεις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2.1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  <w:vAlign w:val="center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Tαχύτητα διακίνησης πακέτων (L4 throughput)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2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≥ 6 Gbps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2.2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  <w:vAlign w:val="center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Tαχύτητα διακίνησης πακέτων (L7 throughput)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2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≥ 4 Gbps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2.3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  <w:vAlign w:val="center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Δυνατότητα εξυπηρέτησης L7 (HTTP) αιτήσεις / δευτερόλεπτο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2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≥ 250.000 rps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2.4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  <w:vAlign w:val="center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Αριθμός TCP συνδέσεων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2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≥9.000.000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2.5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  <w:vAlign w:val="center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SSL Acceleration (2K Key)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2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≥ 1000 TPS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1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3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  <w:vAlign w:val="center"/>
            <w:shd w:val="clear" w:color="auto" w:fill="D9D9D9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Χαρακτηριστικά λειτουργίας Load Balancing και Application  Delivery Control (ενσωματωμένα κατά την παράδοση του εξοπλισμού)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D9D9D9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3.1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 οποιουδήποτε IP πρωτοκόλλου-κίνησης TCP, UDP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3.2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 βελτιστοποίησης της κατανομής αιτήσεων από ένα σύνολο εξυπηρετητών, με αλγόριθμους που κάνουν χρήση των παρακάτω χαρακτηριστικών: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5"/>
              </w:numPr>
            </w:pPr>
            <w:r>
              <w:rPr>
                <w:rFonts w:ascii="Calibri" w:hAnsi="Calibri"/>
                <w:sz w:val="20"/>
                <w:color w:val="000000"/>
              </w:rPr>
              <w:t xml:space="preserve">Round Robin 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5"/>
              </w:numPr>
            </w:pPr>
            <w:r>
              <w:rPr>
                <w:rFonts w:ascii="Calibri" w:hAnsi="Calibri"/>
                <w:sz w:val="20"/>
                <w:color w:val="000000"/>
              </w:rPr>
              <w:t xml:space="preserve">Weighted Round Robin </w:t>
            </w:r>
          </w:p>
          <w:p>
            <w:pPr>
              <w:spacing w:before="40" w:after="40" w:beforeAutospacing="0" w:afterAutospacing="0"/>
              <w:rPr>
                <w:rFonts w:ascii="Arial" w:hAnsi="Arial"/>
                <w:sz w:val="20"/>
                <w:color w:val="000000"/>
              </w:rPr>
              <w:numPr>
                <w:ilvl w:val="0"/>
                <w:numId w:val="5"/>
              </w:numPr>
            </w:pPr>
            <w:r>
              <w:rPr>
                <w:rFonts w:ascii="Calibri" w:hAnsi="Calibri"/>
                <w:sz w:val="20"/>
                <w:color w:val="000000"/>
              </w:rPr>
              <w:t xml:space="preserve">Καλύτερο χρόνο απόκρισης του εξυπηρετητή 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5"/>
              </w:numPr>
            </w:pPr>
            <w:r>
              <w:rPr>
                <w:rFonts w:ascii="Calibri" w:hAnsi="Calibri"/>
                <w:sz w:val="20"/>
                <w:color w:val="000000"/>
              </w:rPr>
              <w:t>Μικρότερο φόρτο του εξυπηρετητή για το συγκεκριμένο περιεχόμενο</w:t>
            </w:r>
          </w:p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με επιλογή μεθοδολογίας από τον διαχειριστή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3.3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 xml:space="preserve">Υποστήριξη λειτουργίας persistence 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6"/>
              </w:numPr>
            </w:pPr>
            <w:r>
              <w:rPr>
                <w:rFonts w:ascii="Calibri" w:hAnsi="Calibri"/>
                <w:sz w:val="20"/>
                <w:color w:val="000000"/>
              </w:rPr>
              <w:t xml:space="preserve">Source IP 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6"/>
              </w:numPr>
            </w:pPr>
            <w:r>
              <w:rPr>
                <w:rFonts w:ascii="Calibri" w:hAnsi="Calibri"/>
                <w:sz w:val="20"/>
                <w:color w:val="000000"/>
              </w:rPr>
              <w:t>URL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6"/>
              </w:numPr>
            </w:pPr>
            <w:r>
              <w:rPr>
                <w:rFonts w:ascii="Calibri" w:hAnsi="Calibri"/>
                <w:sz w:val="20"/>
                <w:color w:val="000000"/>
              </w:rPr>
              <w:t>Cookie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6"/>
              </w:numPr>
            </w:pPr>
            <w:r>
              <w:rPr>
                <w:rFonts w:ascii="Calibri" w:hAnsi="Calibri"/>
                <w:sz w:val="20"/>
                <w:color w:val="000000"/>
              </w:rPr>
              <w:t>Destination IP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3.4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Δυνατότητα ανίχνευσης βλαβών εξυπηρετητή και αποκοπής του από την λίστα των εξυπηρετητών που προωθούνται οι αιτήσεις χρηστών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3.5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  <w:vAlign w:val="center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Statefull Fail Over: Connection </w:t>
            </w:r>
            <w:r>
              <w:rPr>
                <w:rFonts w:ascii="Calibri" w:hAnsi="Calibri"/>
                <w:sz w:val="20"/>
                <w:color w:val="000000"/>
              </w:rPr>
              <w:t>και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Persistence. </w:t>
            </w:r>
            <w:r>
              <w:rPr>
                <w:rFonts w:ascii="Calibri" w:hAnsi="Calibri"/>
                <w:sz w:val="20"/>
                <w:color w:val="000000"/>
              </w:rPr>
              <w:t>Ο εξοπλισμός θα πρέπει να διατηρεί όλα τα connections στην περίπτωση μετάπτωσης.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60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3.6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 διαφορετικών εικονικών τοπικών δικτύων (VLAN)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3.7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 xml:space="preserve">Υποστήριξη SSL Acceleration με υποστήριξη κλειδιών RSA μήκους 2048 bit 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3.8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Δυνατότητα τερματισμού και επιτάχυνσης συνδέσεων τύπου SSL (SSL acceleration).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3.9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 τεχνολογίας caching σε επίπεδο Web περιεχομένου (static και dynamic) ανάλογα με το περιεχόμενο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3.10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 xml:space="preserve">Δυνατότητα υποστήριξης λειτουργιών Global Server Load Balancing για διασυνδεση των υπηρεσιών μεταξύ πολλαπλών datacenters 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3.11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Yποστήριξη των ακόλουθων χαρακτηριστικών για την λειτουργία health checking και υψηλής διαθεσιμότητας: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7"/>
              </w:numPr>
            </w:pPr>
            <w:r>
              <w:rPr>
                <w:rFonts w:ascii="Calibri" w:hAnsi="Calibri"/>
                <w:sz w:val="20"/>
                <w:color w:val="000000"/>
              </w:rPr>
              <w:t>Aggregated health checks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7"/>
              </w:numPr>
            </w:pPr>
            <w:r>
              <w:rPr>
                <w:rFonts w:ascii="Calibri" w:hAnsi="Calibri"/>
                <w:sz w:val="20"/>
                <w:color w:val="000000"/>
              </w:rPr>
              <w:t>ICMP health checking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7"/>
              </w:numPr>
            </w:pPr>
            <w:r>
              <w:rPr>
                <w:rFonts w:ascii="Calibri" w:hAnsi="Calibri"/>
                <w:sz w:val="20"/>
                <w:color w:val="000000"/>
              </w:rPr>
              <w:t>Layer 7 checking against any target</w:t>
            </w:r>
          </w:p>
          <w:p>
            <w:pPr>
              <w:jc w:val="both"/>
              <w:ind w:left="72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server port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8"/>
              </w:numPr>
            </w:pPr>
            <w:r>
              <w:rPr>
                <w:rFonts w:ascii="Calibri" w:hAnsi="Calibri"/>
                <w:sz w:val="20"/>
                <w:color w:val="000000"/>
              </w:rPr>
              <w:t>Stateful Failover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8"/>
              </w:numPr>
            </w:pPr>
            <w:r>
              <w:rPr>
                <w:rFonts w:ascii="Calibri" w:hAnsi="Calibri"/>
                <w:sz w:val="20"/>
                <w:color w:val="000000"/>
              </w:rPr>
              <w:t>Global Server Load Balancing</w:t>
            </w:r>
          </w:p>
          <w:p>
            <w:pPr>
              <w:jc w:val="both"/>
              <w:ind w:left="72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(GSLB)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3.12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 των ακόλουθων χαρακτηριστικών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9"/>
              </w:numPr>
            </w:pPr>
            <w:r>
              <w:rPr>
                <w:rFonts w:ascii="Calibri" w:hAnsi="Calibri"/>
                <w:sz w:val="20"/>
                <w:color w:val="000000"/>
              </w:rPr>
              <w:t>Pre-Authentication &amp; SSO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9"/>
              </w:numPr>
            </w:pPr>
            <w:r>
              <w:rPr>
                <w:rFonts w:ascii="Calibri" w:hAnsi="Calibri"/>
                <w:sz w:val="20"/>
                <w:color w:val="000000"/>
              </w:rPr>
              <w:t>Multi-Domain authentication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9"/>
              </w:numPr>
            </w:pPr>
            <w:r>
              <w:rPr>
                <w:rFonts w:ascii="Calibri" w:hAnsi="Calibri"/>
                <w:sz w:val="20"/>
                <w:color w:val="000000"/>
              </w:rPr>
              <w:t>X.509 client certificate authentication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9"/>
              </w:numPr>
            </w:pPr>
            <w:r>
              <w:rPr>
                <w:rFonts w:ascii="Calibri" w:hAnsi="Calibri"/>
                <w:sz w:val="20"/>
                <w:color w:val="000000"/>
              </w:rPr>
              <w:t>Custom login forms</w:t>
            </w:r>
          </w:p>
          <w:p>
            <w:pPr>
              <w:jc w:val="both"/>
              <w:rPr>
                <w:rFonts w:ascii="Arial" w:hAnsi="Arial"/>
                <w:sz w:val="20"/>
                <w:color w:val="000000"/>
              </w:rPr>
              <w:numPr>
                <w:ilvl w:val="0"/>
                <w:numId w:val="9"/>
              </w:numPr>
            </w:pPr>
            <w:r>
              <w:rPr>
                <w:rFonts w:ascii="Calibri" w:hAnsi="Calibri"/>
                <w:sz w:val="20"/>
                <w:color w:val="000000"/>
              </w:rPr>
              <w:t>Two factor authentication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3.13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color w:val="000000"/>
              </w:rPr>
              <w:t>για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Session reconnection for Microsoft remote desktop services (RDS)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Να αναφερθεί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3.14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  <w:vAlign w:val="center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 xml:space="preserve">Υποστήριξη συμπίεσης Web περιεχομένου 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3.15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  <w:vAlign w:val="center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Compression Throughput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Να αναφερθεί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BFBFBF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4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  <w:shd w:val="clear" w:color="auto" w:fill="BFBFBF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 xml:space="preserve">Χαρακτηριστικά Ασφάλειας </w:t>
            </w:r>
            <w:r>
              <w:rPr>
                <w:rFonts w:ascii="Calibri" w:hAnsi="Calibri"/>
                <w:sz w:val="20"/>
                <w:color w:val="000000"/>
              </w:rPr>
              <w:t>(ενσωματωμένα με την παράδοση του εξοπλισμού)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  <w:shd w:val="clear" w:color="auto" w:fill="BFBFBF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BFBFBF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BFBFBF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4.1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Λίστα ελέγχου πρόσβασης (Permit /Deny)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4.2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 ΙP address filtering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4.3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Δυνατότητα αποφυγής επιθέσεων τύπου DoS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4.4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color w:val="000000"/>
              </w:rPr>
              <w:t>λίστας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color w:val="000000"/>
              </w:rPr>
              <w:t>ελέγχου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color w:val="000000"/>
              </w:rPr>
              <w:t>πρόσβασης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(Black and White Access Control List) 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4.5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HTTP protocol compliance checks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4.6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Δυνατότητα λειτουργίας ως HTTP reverse proxy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4.7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color w:val="000000"/>
                <w:lang w:val="en-US"/>
              </w:rPr>
              <w:t>Y</w:t>
            </w:r>
            <w:r>
              <w:rPr>
                <w:rFonts w:ascii="Calibri" w:hAnsi="Calibri"/>
                <w:sz w:val="20"/>
                <w:color w:val="000000"/>
              </w:rPr>
              <w:t>ποστήριξη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RADIUS, </w:t>
            </w:r>
            <w:r>
              <w:rPr>
                <w:rFonts w:ascii="Calibri" w:hAnsi="Calibri"/>
                <w:sz w:val="20"/>
                <w:color w:val="000000"/>
              </w:rPr>
              <w:t>Κ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>erberos, Active Directory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4.8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Προστασία IP διευθυνσιοδότησης των εξυπηρετητών μέσω NAT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Να αναφερθεί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4.9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 Selective NAT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Να αναφερθεί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4.10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spacing w:before="40" w:after="4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 υλοποίησης πολιτικών ασφάλειας στη ροή των αιτήσεων προς τους εξυπηρετητές με βάση τα παρακάτω χαρακτηριστικά ή συνδυασμό τους:</w:t>
            </w:r>
          </w:p>
          <w:p>
            <w:pPr>
              <w:spacing w:before="40" w:after="40" w:beforeAutospacing="0" w:afterAutospacing="0"/>
              <w:rPr>
                <w:rFonts w:ascii="Arial" w:hAnsi="Arial"/>
                <w:sz w:val="20"/>
                <w:color w:val="000000"/>
              </w:rPr>
              <w:numPr>
                <w:ilvl w:val="0"/>
                <w:numId w:val="10"/>
              </w:numPr>
            </w:pPr>
            <w:r>
              <w:rPr>
                <w:rFonts w:ascii="Calibri" w:hAnsi="Calibri"/>
                <w:sz w:val="20"/>
                <w:color w:val="000000"/>
              </w:rPr>
              <w:t>Διεύθυνση IP αποστολέα/παραλήπτη</w:t>
            </w:r>
          </w:p>
          <w:p>
            <w:pPr>
              <w:spacing w:before="40" w:after="40" w:beforeAutospacing="0" w:afterAutospacing="0"/>
              <w:rPr>
                <w:rFonts w:ascii="Arial" w:hAnsi="Arial"/>
                <w:sz w:val="20"/>
                <w:color w:val="000000"/>
              </w:rPr>
              <w:numPr>
                <w:ilvl w:val="0"/>
                <w:numId w:val="10"/>
              </w:numPr>
            </w:pPr>
            <w:r>
              <w:rPr>
                <w:rFonts w:ascii="Calibri" w:hAnsi="Calibri"/>
                <w:sz w:val="20"/>
                <w:color w:val="000000"/>
              </w:rPr>
              <w:t>Είδος χρησιμοποιούμενου πρωτοκόλλου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Να αναφερθεί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4.11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color w:val="000000"/>
              </w:rPr>
              <w:t>των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color w:val="000000"/>
              </w:rPr>
              <w:t>αλγορίθμων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AES, 3DES, DES, Diffie-Helman, DSA, RSA, SHA-2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Να αναφερθεί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3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4.12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Αναγνώριση Bots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Να αναφερθεί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4.13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Λειτουργία ως HTTP reverse proxy, αποτρέποντας την απευθείας σύνδεση των χρηστών με τους servers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Να αναφερθεί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4.14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Προστασία από:</w:t>
            </w:r>
          </w:p>
          <w:p>
            <w:pPr>
              <w:rPr>
                <w:rFonts w:ascii="Arial" w:hAnsi="Arial"/>
                <w:sz w:val="20"/>
                <w:color w:val="000000"/>
              </w:rPr>
              <w:numPr>
                <w:ilvl w:val="0"/>
                <w:numId w:val="11"/>
              </w:numPr>
            </w:pPr>
            <w:r>
              <w:rPr>
                <w:rFonts w:ascii="Calibri" w:hAnsi="Calibri"/>
                <w:sz w:val="20"/>
                <w:color w:val="000000"/>
              </w:rPr>
              <w:t>Web, Https (SSL), XML, Vulnerabilities</w:t>
            </w:r>
          </w:p>
          <w:p>
            <w:pPr>
              <w:rPr>
                <w:rFonts w:ascii="Arial" w:hAnsi="Arial"/>
                <w:sz w:val="20"/>
                <w:color w:val="000000"/>
              </w:rPr>
              <w:numPr>
                <w:ilvl w:val="0"/>
                <w:numId w:val="11"/>
              </w:numPr>
            </w:pPr>
            <w:r>
              <w:rPr>
                <w:rFonts w:ascii="Calibri" w:hAnsi="Calibri"/>
                <w:sz w:val="20"/>
                <w:color w:val="000000"/>
              </w:rPr>
              <w:t>HTTP parameter manipulation</w:t>
            </w:r>
          </w:p>
          <w:p>
            <w:pPr>
              <w:rPr>
                <w:rFonts w:ascii="Arial" w:hAnsi="Arial"/>
                <w:sz w:val="20"/>
                <w:color w:val="000000"/>
              </w:rPr>
              <w:numPr>
                <w:ilvl w:val="0"/>
                <w:numId w:val="11"/>
              </w:numPr>
            </w:pPr>
            <w:r>
              <w:rPr>
                <w:rFonts w:ascii="Calibri" w:hAnsi="Calibri"/>
                <w:sz w:val="20"/>
                <w:color w:val="000000"/>
              </w:rPr>
              <w:t>Cookie tampering</w:t>
            </w:r>
          </w:p>
          <w:p>
            <w:pPr>
              <w:rPr>
                <w:rFonts w:ascii="Arial" w:hAnsi="Arial"/>
                <w:sz w:val="20"/>
                <w:color w:val="000000"/>
              </w:rPr>
              <w:numPr>
                <w:ilvl w:val="0"/>
                <w:numId w:val="11"/>
              </w:numPr>
            </w:pPr>
            <w:r>
              <w:rPr>
                <w:rFonts w:ascii="Calibri" w:hAnsi="Calibri"/>
                <w:sz w:val="20"/>
                <w:color w:val="000000"/>
              </w:rPr>
              <w:t xml:space="preserve">Cross Site Scripting (XSS) </w:t>
            </w:r>
          </w:p>
          <w:p>
            <w:pPr>
              <w:rPr>
                <w:rFonts w:ascii="Arial" w:hAnsi="Arial"/>
                <w:sz w:val="20"/>
                <w:color w:val="000000"/>
              </w:rPr>
              <w:numPr>
                <w:ilvl w:val="0"/>
                <w:numId w:val="11"/>
              </w:numPr>
            </w:pPr>
            <w:r>
              <w:rPr>
                <w:rFonts w:ascii="Calibri" w:hAnsi="Calibri"/>
                <w:sz w:val="20"/>
                <w:color w:val="000000"/>
              </w:rPr>
              <w:t xml:space="preserve">Information disclosure </w:t>
            </w:r>
          </w:p>
          <w:p>
            <w:pPr>
              <w:rPr>
                <w:rFonts w:ascii="Arial" w:hAnsi="Arial"/>
                <w:sz w:val="20"/>
                <w:color w:val="000000"/>
              </w:rPr>
              <w:numPr>
                <w:ilvl w:val="0"/>
                <w:numId w:val="11"/>
              </w:numPr>
            </w:pPr>
            <w:r>
              <w:rPr>
                <w:rFonts w:ascii="Calibri" w:hAnsi="Calibri"/>
                <w:sz w:val="20"/>
                <w:color w:val="000000"/>
              </w:rPr>
              <w:t>Trojans</w:t>
            </w:r>
          </w:p>
          <w:p>
            <w:pPr>
              <w:rPr>
                <w:rFonts w:ascii="Arial" w:hAnsi="Arial"/>
                <w:sz w:val="20"/>
                <w:color w:val="000000"/>
              </w:rPr>
              <w:numPr>
                <w:ilvl w:val="0"/>
                <w:numId w:val="11"/>
              </w:numPr>
            </w:pPr>
            <w:r>
              <w:rPr>
                <w:rFonts w:ascii="Calibri" w:hAnsi="Calibri"/>
                <w:sz w:val="20"/>
                <w:color w:val="000000"/>
              </w:rPr>
              <w:t xml:space="preserve">Buffer overflow </w:t>
            </w:r>
          </w:p>
          <w:p>
            <w:pPr>
              <w:rPr>
                <w:rFonts w:ascii="Arial" w:hAnsi="Arial"/>
                <w:sz w:val="20"/>
                <w:color w:val="000000"/>
                <w:lang w:val="en-US"/>
              </w:rPr>
              <w:numPr>
                <w:ilvl w:val="0"/>
                <w:numId w:val="11"/>
              </w:numPr>
            </w:pPr>
            <w:r>
              <w:rPr>
                <w:rFonts w:ascii="Calibri" w:hAnsi="Calibri"/>
                <w:sz w:val="20"/>
                <w:color w:val="000000"/>
                <w:lang w:val="en-US"/>
              </w:rPr>
              <w:t>Cross Site Request Forgery/ one click attack (CSRF/XSRF)</w:t>
            </w:r>
          </w:p>
          <w:p>
            <w:pPr>
              <w:rPr>
                <w:rFonts w:ascii="Arial" w:hAnsi="Arial"/>
                <w:sz w:val="20"/>
                <w:color w:val="000000"/>
              </w:rPr>
              <w:numPr>
                <w:ilvl w:val="0"/>
                <w:numId w:val="11"/>
              </w:numPr>
            </w:pPr>
            <w:r>
              <w:rPr>
                <w:rFonts w:ascii="Calibri" w:hAnsi="Calibri"/>
                <w:sz w:val="20"/>
                <w:color w:val="000000"/>
              </w:rPr>
              <w:t xml:space="preserve">SQL Injection </w:t>
            </w:r>
          </w:p>
          <w:p>
            <w:pPr>
              <w:rPr>
                <w:rFonts w:ascii="Arial" w:hAnsi="Arial"/>
                <w:sz w:val="20"/>
                <w:color w:val="000000"/>
                <w:lang w:val="en-US"/>
              </w:rPr>
              <w:numPr>
                <w:ilvl w:val="0"/>
                <w:numId w:val="11"/>
              </w:numPr>
            </w:pPr>
            <w:r>
              <w:rPr>
                <w:rFonts w:ascii="Calibri" w:hAnsi="Calibri"/>
                <w:sz w:val="20"/>
                <w:color w:val="000000"/>
                <w:lang w:val="en-US"/>
              </w:rPr>
              <w:t>Information Leakage and Improper Error Handling</w:t>
            </w:r>
          </w:p>
          <w:p>
            <w:pPr>
              <w:spacing w:after="160" w:beforeAutospacing="0" w:afterAutospacing="0"/>
              <w:rPr>
                <w:rFonts w:ascii="Arial" w:hAnsi="Arial"/>
                <w:sz w:val="20"/>
                <w:color w:val="000000"/>
              </w:rPr>
              <w:numPr>
                <w:ilvl w:val="0"/>
                <w:numId w:val="11"/>
              </w:numPr>
            </w:pPr>
            <w:r>
              <w:rPr>
                <w:rFonts w:ascii="Calibri" w:hAnsi="Calibri"/>
                <w:sz w:val="20"/>
                <w:color w:val="000000"/>
              </w:rPr>
              <w:t>Denial of service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Να αναφερθεί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4.14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Anti-DDOS προστασία σε web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Να αναφερθεί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BFBFBF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5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  <w:shd w:val="clear" w:color="auto" w:fill="BFBFBF"/>
          </w:tcPr>
          <w:p>
            <w:pPr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Διαχείριση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  <w:shd w:val="clear" w:color="auto" w:fill="BFBFBF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BFBFBF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BFBFBF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5.1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Ασφαλής Διαχείριση σε περιβάλλον γραμμής εντολών μέσω SSH, Console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5.2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Ασφαλής Διαχείριση μέσω κεντρικής κονσόλας διαχείρισης σε περιβάλλον WEB μέσω HTTPS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5.3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 των παρακάτω:</w:t>
            </w:r>
          </w:p>
          <w:p>
            <w:pPr>
              <w:rPr>
                <w:rFonts w:ascii="Arial" w:hAnsi="Arial"/>
                <w:sz w:val="20"/>
                <w:color w:val="000000"/>
              </w:rPr>
              <w:numPr>
                <w:ilvl w:val="0"/>
                <w:numId w:val="12"/>
              </w:numPr>
            </w:pPr>
            <w:r>
              <w:rPr>
                <w:rFonts w:ascii="Calibri" w:hAnsi="Calibri"/>
                <w:sz w:val="20"/>
                <w:color w:val="000000"/>
              </w:rPr>
              <w:t>αρχείων λειτουργίας (log)</w:t>
            </w:r>
          </w:p>
          <w:p>
            <w:pPr>
              <w:rPr>
                <w:rFonts w:ascii="Arial" w:hAnsi="Arial"/>
                <w:sz w:val="20"/>
                <w:color w:val="000000"/>
              </w:rPr>
              <w:numPr>
                <w:ilvl w:val="0"/>
                <w:numId w:val="12"/>
              </w:numPr>
            </w:pPr>
            <w:r>
              <w:rPr>
                <w:rFonts w:ascii="Calibri" w:hAnsi="Calibri"/>
                <w:sz w:val="20"/>
                <w:color w:val="000000"/>
              </w:rPr>
              <w:t xml:space="preserve">SNMP </w:t>
            </w:r>
          </w:p>
          <w:p>
            <w:pPr>
              <w:rPr>
                <w:rFonts w:ascii="Arial" w:hAnsi="Arial"/>
                <w:sz w:val="20"/>
                <w:color w:val="000000"/>
              </w:rPr>
              <w:numPr>
                <w:ilvl w:val="0"/>
                <w:numId w:val="12"/>
              </w:numPr>
            </w:pPr>
            <w:r>
              <w:rPr>
                <w:rFonts w:ascii="Calibri" w:hAnsi="Calibri"/>
                <w:sz w:val="20"/>
                <w:color w:val="000000"/>
              </w:rPr>
              <w:t xml:space="preserve">Syslog 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5.4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Εμφάνιση των δεικτών απόδοσης και διαθεσιμότητας του συστήματος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BFBFBF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br w:type="textWrapping"/>
              <w:t>6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  <w:shd w:val="clear" w:color="auto" w:fill="BFBFBF"/>
          </w:tcPr>
          <w:p>
            <w:pPr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Publishing εφαρμογών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  <w:shd w:val="clear" w:color="auto" w:fill="BFBFBF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BFBFBF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  <w:shd w:val="clear" w:color="auto" w:fill="BFBFBF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6.1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 publishing web εφαρμογών και παροχή δυνατοτήτων SSO πρόσβασης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22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6.2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6261" w:type="dxa"/>
          </w:tcPr>
          <w:p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color w:val="000000"/>
              </w:rPr>
              <w:t>Υποστήριξη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color w:val="000000"/>
              </w:rPr>
              <w:t>εφαρμογών</w:t>
            </w:r>
            <w:r>
              <w:rPr>
                <w:rFonts w:ascii="Calibri" w:hAnsi="Calibri"/>
                <w:sz w:val="20"/>
                <w:color w:val="000000"/>
                <w:lang w:val="en-US"/>
              </w:rPr>
              <w:t xml:space="preserve"> </w:t>
            </w:r>
            <w:r>
              <w:rPr>
                <w:rFonts w:ascii="Calibri" w:hAnsi="Calibri"/>
                <w:sz w:val="20"/>
                <w:color w:val="000000"/>
              </w:rPr>
              <w:t>όπως</w:t>
            </w:r>
          </w:p>
          <w:p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color w:val="000000"/>
                <w:lang w:val="en-US"/>
              </w:rPr>
              <w:t>·         Microsoft ActiveSync</w:t>
            </w:r>
          </w:p>
          <w:p>
            <w:pPr>
              <w:rPr>
                <w:rFonts w:ascii="Arial" w:hAnsi="Arial"/>
                <w:sz w:val="20"/>
                <w:lang w:val="en-US"/>
              </w:rPr>
            </w:pPr>
            <w:r>
              <w:rPr>
                <w:rFonts w:ascii="Calibri" w:hAnsi="Calibri"/>
                <w:sz w:val="20"/>
                <w:color w:val="000000"/>
                <w:lang w:val="en-US"/>
              </w:rPr>
              <w:t>·         Microsoft Outlook Web Access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·         Microsoft SharePoint</w:t>
            </w:r>
          </w:p>
          <w:p>
            <w:pPr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·         Microsoft Lync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1584" w:type="dxa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Να αναφερθούν οι υποστηριζόμενες εφαρμογές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 w:val="1"/>
            <w:tcW w:w="0" w:type="auto"/>
            <w:vAlign w:val="center"/>
          </w:tcPr>
          <w:p>
            <w:pPr>
              <w:jc w:val="center"/>
              <w:spacing w:after="160" w:beforeAutospacing="0" w:afterAutospac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46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484" w:type="dxa"/>
            <w:shd w:val="clear" w:color="auto" w:fill="D9D9D9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7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6261" w:type="dxa"/>
            <w:shd w:val="clear" w:color="auto" w:fill="D9D9D9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b w:val="1"/>
                <w:color w:val="000000"/>
              </w:rPr>
              <w:t>Προδιαγραφές τεχνικής υποστήριξης και ειδικοί όροι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1584" w:type="dxa"/>
            <w:shd w:val="clear" w:color="auto" w:fill="D9D9D9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969" w:type="dxa"/>
            <w:shd w:val="clear" w:color="auto" w:fill="D9D9D9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1158" w:type="dxa"/>
            <w:shd w:val="clear" w:color="auto" w:fill="D9D9D9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1298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484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7.1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6261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Υπηρεσίες εγκατάστασης, παραμετροποίησης, πιλοτικής λειτουργίας και εκπαίδευσης. Η εγκατάσταση θα πρέπει να ολοκληρωθεί το αργότερο εντός 25 εργάσιμων ημερών από την έναρξη της υλοποίησης. Η εκπαίδευση θα διαρκέσει 1 εργάσιμη ημέρα (8 ώρες) και θα λάβει χώρα μετά την ολοκλήρωση της εγκατάστασης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1584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969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1158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96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484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7.2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6261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Ο Ανάδοχος καλείται να προσφέρει ένα (1) έτος εγγύηση καλής λειτουργίας της προσφερόμενης λύσης η οποία θα αρχίζει από την υπογραφή του Πρωτοκόλλου Οριστικής Παραλαβής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1584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969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1158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70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484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7.3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6261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Ο Ανάδοχος θα προσφέρει υπηρεσίες συντήρησης, τεχνικής υποστήριξης και ενημερωμένων εκδόσεων για ένα (1) έτος από την υπογραφή του Πρωτοκόλλου Οριστικής Παραλαβής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1584" w:type="dxa"/>
          </w:tcPr>
          <w:p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Calibri" w:hAnsi="Calibri"/>
                <w:sz w:val="20"/>
                <w:color w:val="000000"/>
              </w:rPr>
              <w:t>NAI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969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 w:val="1"/>
            <w:tcW w:w="1158" w:type="dxa"/>
          </w:tcPr>
          <w:p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</w:tr>
      <w:tr>
        <w:trPr>
          <w:trHeight w:hRule="atLeast" w:val="700"/>
        </w:trPr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cW w:w="484" w:type="dxa"/>
          </w:tcPr>
          <w:p>
            <w:pPr>
              <w:jc w:val="center"/>
              <w:rPr>
                <w:rFonts w:ascii="Calibri" w:hAnsi="Calibri"/>
                <w:sz w:val="20"/>
                <w:color w:val="000000"/>
              </w:rPr>
            </w:pPr>
            <w:r>
              <w:rPr>
                <w:rFonts w:ascii="Calibri" w:hAnsi="Calibri"/>
                <w:sz w:val="20"/>
                <w:color w:val="000000"/>
              </w:rPr>
              <w:t>7.4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cW w:w="6261" w:type="dxa"/>
          </w:tcPr>
          <w:p>
            <w:pPr>
              <w:rPr>
                <w:rFonts w:ascii="Calibri" w:hAnsi="Calibri"/>
                <w:sz w:val="20"/>
                <w:color w:val="000000"/>
              </w:rPr>
            </w:pPr>
            <w:r>
              <w:rPr>
                <w:rFonts w:ascii="Calibri" w:hAnsi="Calibri"/>
                <w:sz w:val="20"/>
                <w:color w:val="000000"/>
              </w:rPr>
              <w:t>Ο Ανάδοχος θα πρέπει να είναι πιστοποιημένος στη διαχείριση της ασφάλειας κατά ISO/IEC 27001</w:t>
            </w: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cW w:w="1584" w:type="dxa"/>
          </w:tcPr>
          <w:p>
            <w:pPr>
              <w:jc w:val="center"/>
              <w:rPr>
                <w:rFonts w:ascii="Calibri" w:hAnsi="Calibri"/>
                <w:sz w:val="20"/>
                <w:color w:val="000000"/>
              </w:rPr>
            </w:pPr>
            <w:r>
              <w:rPr>
                <w:rFonts w:ascii="Calibri" w:hAnsi="Calibri"/>
                <w:sz w:val="20"/>
                <w:color w:val="000000"/>
              </w:rPr>
              <w:t>ΝΑΙ</w:t>
            </w:r>
            <w:bookmarkStart w:id="0" w:name="_GoBack"/>
            <w:bookmarkEnd w:id="0"/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cW w:w="969" w:type="dxa"/>
          </w:tcPr>
          <w:p>
            <w:pPr>
              <w:rPr>
                <w:rFonts w:ascii="Arial" w:hAnsi="Arial"/>
                <w:sz w:val="20"/>
              </w:rPr>
            </w:pPr>
          </w:p>
        </w:tc>
        <w:tc>
          <w:tcPr>
            <w:tcBorders>
              <w:bottom w:val="single" w:sz="4" w:space="0" w:shadow="0" w:frame="0" w:color="000000"/>
              <w:left w:val="single" w:sz="4" w:space="0" w:shadow="0" w:frame="0" w:color="000000"/>
              <w:right w:val="single" w:sz="4" w:space="0" w:shadow="0" w:frame="0" w:color="000000"/>
              <w:top w:val="single" w:sz="4" w:space="0" w:shadow="0" w:fram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tcW w:w="1158" w:type="dxa"/>
          </w:tcPr>
          <w:p>
            <w:pPr>
              <w:rPr>
                <w:rFonts w:ascii="Arial" w:hAnsi="Arial"/>
                <w:sz w:val="20"/>
              </w:rPr>
            </w:pPr>
          </w:p>
        </w:tc>
      </w:tr>
    </w:tbl>
    <w:p>
      <w:pPr>
        <w:spacing w:after="160" w:beforeAutospacing="0" w:afterAutospacing="0"/>
        <w:rPr>
          <w:rFonts w:ascii="Arial" w:hAnsi="Arial"/>
          <w:sz w:val="24"/>
          <w:color w:val="000000"/>
        </w:rPr>
      </w:pPr>
      <w:r>
        <w:rPr>
          <w:rFonts w:ascii="Arial" w:hAnsi="Arial"/>
          <w:sz w:val="24"/>
          <w:color w:val="000000"/>
        </w:rPr>
        <w:t> </w:t>
      </w:r>
    </w:p>
    <w:p>
      <w:pPr>
        <w:rPr>
          <w:rFonts w:ascii="Calibri" w:hAnsi="Calibri"/>
          <w:sz w:val="20"/>
          <w:b w:val="1"/>
          <w:color w:val="000000"/>
        </w:rPr>
      </w:pPr>
    </w:p>
    <w:sectPr>
      <w:type w:val="nextPage"/>
      <w:pgSz w:w="11906" w:h="16838" w:code="0"/>
      <w:pgMar w:left="720" w:right="720" w:top="720" w:bottom="720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32E26C0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1">
    <w:nsid w:val="3685ECC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2">
    <w:nsid w:val="6E0024B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3">
    <w:nsid w:val="84B4376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4">
    <w:nsid w:val="115E79AF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5">
    <w:nsid w:val="28BB43A9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6">
    <w:nsid w:val="2F5765E5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7">
    <w:nsid w:val="32B57F0E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8">
    <w:nsid w:val="357A48A8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9">
    <w:nsid w:val="359E22E2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10">
    <w:nsid w:val="3EE51E04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11">
    <w:nsid w:val="45C8415A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12">
    <w:nsid w:val="48A95000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13">
    <w:nsid w:val="4D0868E9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14">
    <w:nsid w:val="5A4725C5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15">
    <w:nsid w:val="68AF44DD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16">
    <w:nsid w:val="69F17D5D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17">
    <w:nsid w:val="6DC55F20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18">
    <w:nsid w:val="6ECC5838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19">
    <w:nsid w:val="7A624530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abstractNum w:abstractNumId="20">
    <w:nsid w:val="7BED7B70"/>
    <w:multiLevelType w:val="multilevel"/>
    <w:lvl w:ilvl="0">
      <w:pPr>
        <w:ind w:hanging="360" w:left="720"/>
      </w:pPr>
      <w:rPr>
        <w:rFonts w:ascii="Symbol" w:hAnsi="Symbol"/>
        <w:sz w:val="20"/>
      </w:rPr>
      <w:lvlJc w:val="left"/>
      <w:start w:val="1"/>
      <w:numFmt w:val="bullet"/>
      <w:lvlText w:val=""/>
      <w:suff w:val="tab"/>
    </w:lvl>
    <w:lvl w:ilvl="1">
      <w:pPr>
        <w:ind w:hanging="360" w:left="1440"/>
      </w:pPr>
      <w:rPr>
        <w:rFonts w:ascii="Courier New" w:hAnsi="Courier New"/>
        <w:sz w:val="20"/>
      </w:rPr>
      <w:lvlJc w:val="left"/>
      <w:start w:val="1"/>
      <w:numFmt w:val="bullet"/>
      <w:lvlText w:val="o"/>
      <w:suff w:val="tab"/>
    </w:lvl>
    <w:lvl w:ilvl="2">
      <w:pPr>
        <w:ind w:hanging="360" w:left="21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3">
      <w:pPr>
        <w:ind w:hanging="360" w:left="28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4">
      <w:pPr>
        <w:ind w:hanging="360" w:left="360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5">
      <w:pPr>
        <w:ind w:hanging="360" w:left="432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6">
      <w:pPr>
        <w:ind w:hanging="360" w:left="504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7">
      <w:pPr>
        <w:ind w:hanging="360" w:left="576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  <w:lvl w:ilvl="8">
      <w:pPr>
        <w:ind w:hanging="360" w:left="6480"/>
      </w:pPr>
      <w:rPr>
        <w:rFonts w:ascii="Wingdings" w:hAnsi="Wingdings"/>
        <w:sz w:val="20"/>
      </w:rPr>
      <w:lvlJc w:val="left"/>
      <w:start w:val="1"/>
      <w:numFmt w:val="bullet"/>
      <w:lvlText w:val=""/>
      <w:suff w:val="tab"/>
    </w:lvl>
  </w:abstractNum>
  <w:num w:numId="1">
    <w:abstractNumId w:val="8"/>
  </w:num>
  <w:num w:numId="2">
    <w:abstractNumId w:val="17"/>
  </w:num>
  <w:num w:numId="3">
    <w:abstractNumId w:val="16"/>
  </w:num>
  <w:num w:numId="4">
    <w:abstractNumId w:val="3"/>
  </w:num>
  <w:num w:numId="5">
    <w:abstractNumId w:val="15"/>
  </w:num>
  <w:num w:numId="6">
    <w:abstractNumId w:val="20"/>
  </w:num>
  <w:num w:numId="7">
    <w:abstractNumId w:val="11"/>
  </w:num>
  <w:num w:numId="8">
    <w:abstractNumId w:val="4"/>
  </w:num>
  <w:num w:numId="9">
    <w:abstractNumId w:val="0"/>
  </w:num>
  <w:num w:numId="10">
    <w:abstractNumId w:val="5"/>
  </w:num>
  <w:num w:numId="11">
    <w:abstractNumId w:val="10"/>
  </w:num>
  <w:num w:numId="12">
    <w:abstractNumId w:val="19"/>
  </w:num>
  <w:num w:numId="13">
    <w:abstractNumId w:val="2"/>
  </w:num>
  <w:num w:numId="14">
    <w:abstractNumId w:val="18"/>
  </w:num>
  <w:num w:numId="15">
    <w:abstractNumId w:val="12"/>
  </w:num>
  <w:num w:numId="16">
    <w:abstractNumId w:val="9"/>
  </w:num>
  <w:num w:numId="17">
    <w:abstractNumId w:val="7"/>
  </w:num>
  <w:num w:numId="18">
    <w:abstractNumId w:val="13"/>
  </w:num>
  <w:num w:numId="19">
    <w:abstractNumId w:val="1"/>
  </w:num>
  <w:num w:numId="20">
    <w:abstractNumId w:val="14"/>
  </w:num>
  <w:num w:numId="21">
    <w:abstractNumId w:val="6"/>
  </w:num>
</w:numbering>
</file>

<file path=word/settings.xml><?xml version="1.0" encoding="utf-8"?>
<w:settings xmlns:w="http://schemas.openxmlformats.org/wordprocessingml/2006/main">
  <w:autoHyphenation w:val="0"/>
  <w:defaultTabStop w:val="720"/>
  <w:evenAndOddHeaders w:val="0"/>
  <w:displayBackgroundShape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sz w:val="22"/>
        <w:b w:val="0"/>
        <w:i w:val="0"/>
        <w:caps w:val="0"/>
        <w:color w:val="000000"/>
        <w:vanish w:val="0"/>
        <w:u w:val="none"/>
        <w:strike w:val="0"/>
        <w:vertAlign w:val="baseline"/>
        <w:lang w:val="en-US" w:bidi="ar-SA" w:eastAsia="en-US"/>
        <w:noProof w:val="0"/>
      </w:rPr>
    </w:rPrDefault>
    <w:pPrDefault>
      <w:pPr>
        <w:jc w:val="left"/>
        <w:spacing w:lineRule="auto" w:line="259" w:before="0" w:after="160" w:beforeAutospacing="0" w:afterAutospacing="0"/>
        <w:ind w:firstLine="0" w:left="0" w:right="0"/>
        <w:suppressAutoHyphens w:val="0"/>
        <w:suppressLineNumbers w:val="0"/>
        <w:contextualSpacing w:val="0"/>
        <w:keepNext w:val="0"/>
        <w:keepLines w:val="0"/>
        <w:widowControl w:val="1"/>
        <w:shd w:fill="auto"/>
      </w:pPr>
    </w:pPrDefault>
  </w:docDefaults>
  <w:style w:type="paragraph" w:styleId="P0" w:default="1">
    <w:name w:val="Normal"/>
    <w:qFormat/>
    <w:pPr>
      <w:spacing w:lineRule="auto" w:line="240" w:after="0" w:beforeAutospacing="0" w:afterAutospacing="0"/>
    </w:pPr>
    <w:rPr>
      <w:lang w:val="el-GR" w:eastAsia="el-GR"/>
    </w:rPr>
  </w:style>
  <w:style w:type="paragraph" w:styleId="P1">
    <w:name w:val="msonormal"/>
    <w:basedOn w:val="P0"/>
    <w:pPr>
      <w:spacing w:before="100" w:after="100" w:beforeAutospacing="1" w:afterAutospacing="1"/>
    </w:pPr>
    <w:rPr>
      <w:rFonts w:ascii="Times New Roman" w:hAnsi="Times New Roman"/>
      <w:sz w:val="24"/>
    </w:rPr>
  </w:style>
  <w:style w:type="paragraph" w:styleId="P2">
    <w:name w:val="Normal (Web)"/>
    <w:basedOn w:val="P0"/>
    <w:pPr>
      <w:spacing w:before="100" w:after="100" w:beforeAutospacing="1" w:afterAutospacing="1"/>
    </w:pPr>
    <w:rPr>
      <w:rFonts w:ascii="Times New Roman" w:hAnsi="Times New Roman"/>
      <w:sz w:val="24"/>
    </w:rPr>
  </w:style>
  <w:style w:type="character" w:styleId="C0" w:default="1">
    <w:name w:val="Default Paragraph Font"/>
    <w:semiHidden w:val="1"/>
    <w:rPr/>
  </w:style>
  <w:style w:type="character" w:styleId="C1">
    <w:name w:val="Line Number"/>
    <w:basedOn w:val="C0"/>
    <w:semiHidden w:val="1"/>
    <w:rPr/>
  </w:style>
  <w:style w:type="character" w:styleId="C2">
    <w:name w:val="Hyperlink"/>
    <w:rPr>
      <w:color w:val="0000FF"/>
      <w:u w:val="single"/>
    </w:rPr>
  </w:style>
  <w:style w:type="character" w:styleId="C3">
    <w:name w:val="m_-4326073373790355090gmail-m_1810487751455471428gmail-apple-tab-span"/>
    <w:basedOn w:val="C0"/>
    <w:rPr/>
  </w:style>
  <w:style w:type="table" w:styleId="T0" w:default="1">
    <w:name w:val="Normal Table"/>
    <w:semiHidden w:val="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bottom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  <w:left w:val="single" w:sz="4" w:space="0" w:shadow="0" w:frame="0" w:color="000000"/>
        <w:right w:val="single" w:sz="4" w:space="0" w:shadow="0" w:frame="0" w:color="000000"/>
        <w:top w:val="single" w:sz="4" w:space="0" w:shadow="0" w:frame="0" w:color="000000"/>
      </w:tblBorders>
      <w:tblCellMar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